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DA" w:rsidRPr="008E68DA" w:rsidRDefault="008E68DA" w:rsidP="008E68DA">
      <w:pPr>
        <w:spacing w:before="30" w:after="45" w:line="240" w:lineRule="auto"/>
        <w:jc w:val="center"/>
        <w:outlineLvl w:val="2"/>
        <w:rPr>
          <w:rFonts w:ascii="Arial" w:eastAsia="Times New Roman" w:hAnsi="Arial" w:cs="Arial"/>
          <w:b/>
          <w:bCs/>
          <w:color w:val="0000CC"/>
          <w:sz w:val="21"/>
          <w:szCs w:val="21"/>
        </w:rPr>
      </w:pPr>
      <w:bookmarkStart w:id="0" w:name="_GoBack"/>
      <w:bookmarkEnd w:id="0"/>
      <w:r w:rsidRPr="008E68DA">
        <w:rPr>
          <w:rFonts w:ascii="Arial" w:eastAsia="Times New Roman" w:hAnsi="Arial" w:cs="Arial"/>
          <w:b/>
          <w:bCs/>
          <w:color w:val="0000CC"/>
          <w:sz w:val="21"/>
          <w:szCs w:val="21"/>
        </w:rPr>
        <w:t>ОПРЕДЕЛЕНИЕ КАТЕГОРИЙ ПОМЕЩЕНИЙ И ЗДАНИЙ ПО ВЗРЫВОПОЖАРНОЙ И ПОЖАРНОЙ ОПАСНОСТИ</w:t>
      </w:r>
    </w:p>
    <w:p w:rsidR="008E68DA" w:rsidRPr="008E68DA" w:rsidRDefault="008E68DA" w:rsidP="008E68D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8E68DA">
        <w:rPr>
          <w:rFonts w:ascii="Arial" w:eastAsia="Times New Roman" w:hAnsi="Arial" w:cs="Arial"/>
          <w:b/>
          <w:bCs/>
          <w:sz w:val="18"/>
          <w:szCs w:val="18"/>
        </w:rPr>
        <w:t>НПБ 105-95</w:t>
      </w:r>
      <w:r w:rsidRPr="008E68DA">
        <w:rPr>
          <w:rFonts w:ascii="Arial" w:eastAsia="Times New Roman" w:hAnsi="Arial" w:cs="Arial"/>
          <w:sz w:val="18"/>
          <w:szCs w:val="18"/>
        </w:rPr>
        <w:t xml:space="preserve">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Введены в действие приказом ГУГПС МВД России от 31.10.95 г. N 32 </w:t>
      </w:r>
    </w:p>
    <w:p w:rsidR="008E68DA" w:rsidRPr="008E68DA" w:rsidRDefault="008E68DA" w:rsidP="008E68DA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</w:p>
    <w:p w:rsidR="008E68DA" w:rsidRPr="008E68DA" w:rsidRDefault="008E68DA" w:rsidP="008E68D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8E68DA">
        <w:rPr>
          <w:rFonts w:ascii="Arial" w:eastAsia="Times New Roman" w:hAnsi="Arial" w:cs="Arial"/>
          <w:sz w:val="18"/>
          <w:szCs w:val="18"/>
        </w:rPr>
        <w:t>Дата введения в действие 01.01.96 г.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Настоящий нормативный документ не может быть полностью или частично воспроизведен, тиражирован и распространен в качестве официального издания без разрешения ГУГПС МВД России.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Настоящие нормы устанавливают методику определения категорий помещений и зданий (или частей зданий между противопожарными стенами - пожарных отсеков)* производственного и складского назначения по взрывопожарной и пожарной опасности в зависимости от количества и пожаровзрывоопасных свойств находящихся (обращающихся) в них веществ и материалов с учетом особенностей технологических процессов размещенных в них производств. Методика должна использоваться при разработке ведомственных норм технологического проектирования, касающихся категорирования помещений и зданий.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i/>
          <w:iCs/>
          <w:sz w:val="18"/>
          <w:szCs w:val="18"/>
        </w:rPr>
        <w:t>* Далее по тексту - помещений и зданий.</w:t>
      </w:r>
      <w:r w:rsidRPr="008E68DA">
        <w:rPr>
          <w:rFonts w:ascii="Arial" w:eastAsia="Times New Roman" w:hAnsi="Arial" w:cs="Arial"/>
          <w:sz w:val="18"/>
          <w:szCs w:val="18"/>
        </w:rPr>
        <w:t xml:space="preserve">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В области оценки взрывоопасности настоящие нормы выделяют категории взрывопожароопасных помещений и зданий, более детальная классификация которых по взрывоопасности и необходимые защитные мероприятия должны регламентироваться самостоятельными нормативными документами.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Настоящие нормы не распространяются на помещения и здания для производства и хранения взрывчатых веществ (ВВ), средств инициирования ВВ, здания и сооружения, проектируемые по специальным нормам и правилам, утвержденным в установленном порядке.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Категории помещений и зданий, определенные в соответствии с настоящими нормами, следует применять для установления нормативных требований по обеспечению взрывопожарной и пожарной безопасности указанных помещений и зданий в отношении планировки и застройки, этажности, площадей, размещения помещений, конструктивных решений, инженерного оборудования. Мероприятия по обеспечению безопасности людей должны назначаться в зависимости от пожароопасных свойств и количеств веществ и материалов в соответствии с ГОСТ 12.1.004-91 и ___ГОСТ 12.1.044-89.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Термины и их определения приняты в соответствии с СТ СЭВ 447-77, СТ СЭВ 383-87, ГОСТ 12.1.033-81 и ГОСТ 12.1.044-89.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b/>
          <w:bCs/>
          <w:sz w:val="18"/>
          <w:szCs w:val="18"/>
        </w:rPr>
        <w:t>1. ОБЩИЕ ПОЛОЖЕНИЯ</w:t>
      </w:r>
      <w:r w:rsidRPr="008E68DA">
        <w:rPr>
          <w:rFonts w:ascii="Arial" w:eastAsia="Times New Roman" w:hAnsi="Arial" w:cs="Arial"/>
          <w:sz w:val="18"/>
          <w:szCs w:val="18"/>
        </w:rPr>
        <w:t xml:space="preserve">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1.1. Категории помещений и зданий предприятий и учреждений определяются на стадии проектирования зданий и сооружений в соответствии с настоящими нормами, ведомственными нормами технологического проектирования или специальными перечнями, утвержденными в установленном порядке.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1.2. По взрывопожарной и пожарной опасности помещения и здания подразделяются на категории А, Б, В1-В4, Г и Д.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1.3. Категории взрывопожарной и пожарной опасности помещений и зданий определяются для наиболее неблагоприятного в отношении пожара или взрыва периода, исходя из вида находящихся в аппаратах и помещениях горючих веществ и материалов, их количества и пожароопасных свойств, особенностей технологических процессов.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1.4.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(давление, температура и т.д.).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Допускается использование справочных данных, опубликованных головными научно-исследовательскими организациями в области пожарной безопасности или выданных Государственной службой стандартных справочных данных.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Допускается использование показателей пожарной опасности для смесей веществ и материалов по наиболее опасному компоненту.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b/>
          <w:bCs/>
          <w:sz w:val="18"/>
          <w:szCs w:val="18"/>
        </w:rPr>
        <w:t>2. КАТЕГОРИИ ПОМЕЩЕНИЙ ПО ВЗРЫВОПОЖАРНОЙ И ПОЖАРНОЙ ОПАСНОСТИ</w:t>
      </w:r>
      <w:r w:rsidRPr="008E68DA">
        <w:rPr>
          <w:rFonts w:ascii="Arial" w:eastAsia="Times New Roman" w:hAnsi="Arial" w:cs="Arial"/>
          <w:sz w:val="18"/>
          <w:szCs w:val="18"/>
        </w:rPr>
        <w:t xml:space="preserve">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  <w:t xml:space="preserve">2.1. Категории помещений по взрывопожарной и пожарной опасности принимаются в соответствии с табл. 1.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sz w:val="18"/>
          <w:szCs w:val="18"/>
        </w:rPr>
        <w:lastRenderedPageBreak/>
        <w:t xml:space="preserve">2.2. Определение категорий помещений следует осуществлять путем последовательной проверки принадлежности помещения к категориям, приведенным в табл. 1, от высшей (А) к низшей (Д). </w:t>
      </w:r>
      <w:r w:rsidRPr="008E68DA">
        <w:rPr>
          <w:rFonts w:ascii="Arial" w:eastAsia="Times New Roman" w:hAnsi="Arial" w:cs="Arial"/>
          <w:sz w:val="18"/>
          <w:szCs w:val="18"/>
        </w:rPr>
        <w:br/>
      </w:r>
      <w:r w:rsidRPr="008E68DA">
        <w:rPr>
          <w:rFonts w:ascii="Arial" w:eastAsia="Times New Roman" w:hAnsi="Arial" w:cs="Arial"/>
          <w:b/>
          <w:bCs/>
          <w:sz w:val="18"/>
          <w:szCs w:val="18"/>
        </w:rPr>
        <w:t>Таблица 1</w:t>
      </w:r>
      <w:r w:rsidRPr="008E68DA">
        <w:rPr>
          <w:rFonts w:ascii="Arial" w:eastAsia="Times New Roman" w:hAnsi="Arial" w:cs="Arial"/>
          <w:sz w:val="18"/>
          <w:szCs w:val="18"/>
        </w:rPr>
        <w:t xml:space="preserve"> </w:t>
      </w:r>
    </w:p>
    <w:tbl>
      <w:tblPr>
        <w:tblW w:w="5000" w:type="pct"/>
        <w:tblCellSpacing w:w="7" w:type="dxa"/>
        <w:shd w:val="clear" w:color="auto" w:fill="000066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10"/>
        <w:gridCol w:w="8453"/>
      </w:tblGrid>
      <w:tr w:rsidR="008E68DA" w:rsidRPr="008E68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Характеристика веществ и материалов, помещения находящихся (обращающихся) в помещении </w:t>
            </w:r>
          </w:p>
        </w:tc>
      </w:tr>
      <w:tr w:rsidR="008E68DA" w:rsidRPr="008E68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Горючие газы (ГГ), легковоспламеняющиеся взрывопожаро- опасная жидкости (ЛВЖ) с температурой вспышки не более 28 оС в таком количестве, что могут образовывать взрывоопасные парогазо-воздушные смеси, при воспламенении которых развивается расчетное избыточное давление взрыва в помещении, превышающее 5 кПа. Вещества и материалы, способные взрываться и гореть при взаимодействии с водой, кисло-родом воздуха или друг с другом в таком количестве, что расчетное избыточное давление взрыва в помещении превышает 5 кПа</w:t>
            </w:r>
          </w:p>
        </w:tc>
      </w:tr>
      <w:tr w:rsidR="008E68DA" w:rsidRPr="008E68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Горючие пыли или волокна, ЛВЖ взрывопожаро- опасная с температурой вспышки более 28 oС, горючие жидкости (ГЖ)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 кПа</w:t>
            </w:r>
          </w:p>
        </w:tc>
      </w:tr>
      <w:tr w:rsidR="008E68DA" w:rsidRPr="008E68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В1-В4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ГЖ и трудногорючие жидкости, твердые пожароопасные горючие и трудногорючие вещества и материалы (в том числе пыли и волокна), 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имеются в наличии или обращаются, не относятся к категориям А или Б</w:t>
            </w:r>
          </w:p>
        </w:tc>
      </w:tr>
      <w:tr w:rsidR="008E68DA" w:rsidRPr="008E68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 xml:space="preserve"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пламени; ГГ, ГЖ и твердые вещества, которые сжигаются или утилизируются в качестве топлива </w:t>
            </w:r>
          </w:p>
        </w:tc>
      </w:tr>
      <w:tr w:rsidR="008E68DA" w:rsidRPr="008E68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>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8DA" w:rsidRPr="008E68DA" w:rsidRDefault="008E68DA" w:rsidP="008E68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68DA">
              <w:rPr>
                <w:rFonts w:ascii="Arial" w:eastAsia="Times New Roman" w:hAnsi="Arial" w:cs="Arial"/>
                <w:sz w:val="18"/>
                <w:szCs w:val="18"/>
              </w:rPr>
              <w:t xml:space="preserve">Негорючие вещества и материалы в холодном состоянии </w:t>
            </w:r>
          </w:p>
        </w:tc>
      </w:tr>
    </w:tbl>
    <w:p w:rsidR="007163AC" w:rsidRPr="00C03D46" w:rsidRDefault="008E68DA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8E68DA">
        <w:rPr>
          <w:rFonts w:ascii="Arial" w:eastAsia="Times New Roman" w:hAnsi="Arial" w:cs="Arial"/>
          <w:b/>
          <w:bCs/>
          <w:i/>
          <w:iCs/>
          <w:sz w:val="18"/>
          <w:szCs w:val="18"/>
        </w:rPr>
        <w:t>Примечание.</w:t>
      </w:r>
      <w:r w:rsidRPr="008E68DA">
        <w:rPr>
          <w:rFonts w:ascii="Arial" w:eastAsia="Times New Roman" w:hAnsi="Arial" w:cs="Arial"/>
          <w:i/>
          <w:iCs/>
          <w:sz w:val="18"/>
          <w:szCs w:val="18"/>
        </w:rPr>
        <w:t xml:space="preserve"> Разделение помещений на категории В1-В4 регламентируется положениями, изложенными в табл. 4.</w:t>
      </w:r>
    </w:p>
    <w:p w:rsidR="008E68DA" w:rsidRPr="008E68DA" w:rsidRDefault="008E68DA" w:rsidP="008E68DA">
      <w:pPr>
        <w:pStyle w:val="a3"/>
        <w:rPr>
          <w:rFonts w:ascii="Arial" w:hAnsi="Arial"/>
          <w:b/>
          <w:sz w:val="24"/>
          <w:szCs w:val="24"/>
        </w:rPr>
      </w:pPr>
      <w:r w:rsidRPr="008E68DA">
        <w:rPr>
          <w:b/>
          <w:sz w:val="24"/>
          <w:szCs w:val="24"/>
        </w:rPr>
        <w:t>СП 4.13130.2009</w:t>
      </w:r>
      <w:r w:rsidRPr="008E68DA">
        <w:rPr>
          <w:sz w:val="20"/>
          <w:szCs w:val="20"/>
        </w:rPr>
        <w:t xml:space="preserve"> </w:t>
      </w:r>
      <w:r w:rsidRPr="008E68DA">
        <w:rPr>
          <w:b/>
          <w:sz w:val="24"/>
          <w:szCs w:val="24"/>
        </w:rPr>
        <w:t>Системы противопожарной защиты</w:t>
      </w:r>
    </w:p>
    <w:p w:rsidR="008E68DA" w:rsidRPr="008E68DA" w:rsidRDefault="008E68DA" w:rsidP="008E68DA">
      <w:pPr>
        <w:pStyle w:val="a3"/>
        <w:rPr>
          <w:rFonts w:ascii="Arial" w:hAnsi="Arial"/>
          <w:b/>
          <w:sz w:val="24"/>
          <w:szCs w:val="24"/>
        </w:rPr>
      </w:pPr>
      <w:r w:rsidRPr="008E68DA">
        <w:rPr>
          <w:b/>
          <w:sz w:val="24"/>
          <w:szCs w:val="24"/>
        </w:rPr>
        <w:t>ОГРАНИЧЕНИЕ РАСПРОСТРАНЕНИЯ ПОЖАРА</w:t>
      </w:r>
    </w:p>
    <w:p w:rsidR="008E68DA" w:rsidRPr="008E68DA" w:rsidRDefault="008E68DA" w:rsidP="008E68DA">
      <w:pPr>
        <w:pStyle w:val="a3"/>
        <w:rPr>
          <w:rFonts w:ascii="Arial" w:hAnsi="Arial"/>
          <w:b/>
          <w:sz w:val="24"/>
          <w:szCs w:val="24"/>
        </w:rPr>
      </w:pPr>
      <w:r w:rsidRPr="008E68DA">
        <w:rPr>
          <w:b/>
          <w:sz w:val="24"/>
          <w:szCs w:val="24"/>
        </w:rPr>
        <w:t>НА ОБЪЕКТАХ ЗАЩИТЫ</w:t>
      </w:r>
    </w:p>
    <w:p w:rsidR="008E68DA" w:rsidRPr="008E68DA" w:rsidRDefault="008E68DA" w:rsidP="008E68DA">
      <w:pPr>
        <w:pStyle w:val="a3"/>
        <w:rPr>
          <w:rFonts w:ascii="Arial" w:hAnsi="Arial"/>
          <w:b/>
          <w:sz w:val="24"/>
          <w:szCs w:val="24"/>
        </w:rPr>
      </w:pPr>
      <w:r w:rsidRPr="008E68DA">
        <w:rPr>
          <w:b/>
          <w:sz w:val="24"/>
          <w:szCs w:val="24"/>
        </w:rPr>
        <w:t>Требования к объемно-планировочным</w:t>
      </w:r>
    </w:p>
    <w:p w:rsidR="008E68DA" w:rsidRPr="008E68DA" w:rsidRDefault="008E68DA" w:rsidP="008E68DA">
      <w:pPr>
        <w:pStyle w:val="a3"/>
        <w:rPr>
          <w:rFonts w:ascii="Arial" w:hAnsi="Arial"/>
          <w:b/>
          <w:sz w:val="24"/>
          <w:szCs w:val="24"/>
        </w:rPr>
      </w:pPr>
      <w:r w:rsidRPr="008E68DA">
        <w:rPr>
          <w:b/>
          <w:sz w:val="24"/>
          <w:szCs w:val="24"/>
        </w:rPr>
        <w:t>и конструктивным решениям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22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При надстройке здания мансардным этажом имеющуюся систему мусороудаления допускается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не изменять.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-BoldMT" w:eastAsia="Times New Roman" w:hAnsi="Arial-BoldMT" w:cs="Arial"/>
          <w:b/>
          <w:bCs/>
          <w:sz w:val="20"/>
          <w:szCs w:val="20"/>
        </w:rPr>
        <w:t>6.2 Требования к производственным зданиям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6.2.1 Общую площадь здания следует определять как сумму площадей всех этажей (надземных, вклю-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чая технические, цокольного и подвальных), измеренных в пределах внутренних поверхностей наружных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стен (или осей крайних колонн, где нет наружных стен), тоннелей, внутренних площадок, антресолей, всех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ярусов внутренних этажерок, рамп, галерей (горизонтальной проекции) и переходов в другие здания.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В общую площадь здания не включаются площади технического подполья высотой менее 1,8 м до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низа выступающих конструкций (в котором не требуются проходы для обслуживания коммуникаций),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над подвесными потолками (для которых для доступа к коммуникациям не требуется предусматривать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проход для обслуживающего персонала), а также технологических площадок для обслуживания под-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крановых путей, кранов, конвейеров, монорельсов и светильников.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Площадь помещений, занимающих по высоте два этажа и более в пределах многоэтажного здания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(двухсветных и многосветных), следует включать в общую площадь в пределах одного этажа.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6.2.2 При наличии площадок, этажерок и антресолей, площадь которых на любой отметке пре-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вышает 40 % площади пола помещения, площадь этажа определяется как для многоэтажного здания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с числом этажей, определенным по 6.2.1.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При оборудовании помещений установками автоматического пожаротушения площади допу-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скается увеличивать на 100 %, за исключением зданий IV степени огнестойкости классов пожарной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опасности С0 и С1, а также зданий V степени огнестойкости.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При наличии открытых технологических проемов в перекрытиях смежных этажей суммарная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площадь этих этажей не должна превышать площади этажа по [1].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В здании категории В при наличии помещений категории В1 высоту здания и площадь этажа в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пределах пожарного отсека необходимо уменьшить на 25 %.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lastRenderedPageBreak/>
        <w:t>6.2.3 В помещениях высота от пола до низа выступающих конструкций перекрытия (покрытия)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должна быть не менее 2,2 м, высота от пола до низа выступающих частей коммуникаций и обо-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рудования в местах регулярного прохода людей и на путях эвакуации — не менее 2 м, а в местах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нерегулярного прохода людей — не менее 1,3 м. При необходимости въезда в здание автомобилей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высота проезда должна быть не менее 4,2 м до низа конструкций, выступающих частей коммуникаций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и оборудования, для пожарных автомобилей — не менее 4,5 м.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6.2.4 Ввод железнодорожных путей в здания допускается предусматривать в соответствии с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технологической частью проекта с учетом требований 6.2.14.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6.2.5 Склады сырья, полуфабрикатов и готовой продукции, размещаемые в производственных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зданиях, а также грузовые платформы (рампы) следует проектировать с учетом требований 6.3.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6.2.6 В помещениях категорий А и Б следует предусматривать наружные легкосбрасываемые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ограждающие конструкции.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В качестве легкосбрасываемых конструкций следует, как правило, использовать остекление окон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и фонарей. При недостаточной площади остекления допускается в качестве легкосбрасываемых кон-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струкций использовать конструкции покрытий из стальных, алюминиевых и асбестоцементных листов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и эффективного утеплителя. Площадь легкосбрасываемых конструкций следует определять расчетом.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При отсутствии расчетных данных площадь легкосбрасываемых конструкций должна составлять не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менее 0,05 м</w:t>
      </w:r>
      <w:r w:rsidRPr="00C03D46">
        <w:rPr>
          <w:rFonts w:ascii="ArialMT" w:eastAsia="Times New Roman" w:hAnsi="ArialMT" w:cs="Arial"/>
          <w:sz w:val="13"/>
          <w:szCs w:val="13"/>
          <w:highlight w:val="yellow"/>
        </w:rPr>
        <w:t xml:space="preserve">2 </w:t>
      </w: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на 1 м</w:t>
      </w:r>
      <w:r w:rsidRPr="00C03D46">
        <w:rPr>
          <w:rFonts w:ascii="ArialMT" w:eastAsia="Times New Roman" w:hAnsi="ArialMT" w:cs="Arial"/>
          <w:sz w:val="13"/>
          <w:szCs w:val="13"/>
          <w:highlight w:val="yellow"/>
        </w:rPr>
        <w:t xml:space="preserve">3 </w:t>
      </w: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объема помещения категории А и не менее 0,03 м</w:t>
      </w:r>
      <w:r w:rsidRPr="00C03D46">
        <w:rPr>
          <w:rFonts w:ascii="ArialMT" w:eastAsia="Times New Roman" w:hAnsi="ArialMT" w:cs="Arial"/>
          <w:sz w:val="13"/>
          <w:szCs w:val="13"/>
          <w:highlight w:val="yellow"/>
        </w:rPr>
        <w:t xml:space="preserve">2 </w:t>
      </w: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— помещения категории Б.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Оконное стекло относится к легкосбрасываемым конструкциям при толщине 3, 4 и 5 мм и площади</w:t>
      </w:r>
    </w:p>
    <w:p w:rsidR="008E68DA" w:rsidRPr="00C03D46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не менее (соответственно) 0,8, 1 и 1,5 м</w:t>
      </w:r>
      <w:r w:rsidRPr="00C03D46">
        <w:rPr>
          <w:rFonts w:ascii="ArialMT" w:eastAsia="Times New Roman" w:hAnsi="ArialMT" w:cs="Arial"/>
          <w:sz w:val="13"/>
          <w:szCs w:val="13"/>
          <w:highlight w:val="yellow"/>
        </w:rPr>
        <w:t>2</w:t>
      </w: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. Армированное стекло к легкосбрасываемым конструкциям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D46">
        <w:rPr>
          <w:rFonts w:ascii="ArialMT" w:eastAsia="Times New Roman" w:hAnsi="ArialMT" w:cs="Arial"/>
          <w:sz w:val="20"/>
          <w:szCs w:val="20"/>
          <w:highlight w:val="yellow"/>
        </w:rPr>
        <w:t>неотносится.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Рулонный ковер на участках легкосбрасываемых конструкций покрытия следует разрезать на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карты площадью не более 180 м</w:t>
      </w:r>
      <w:r w:rsidRPr="008E68DA">
        <w:rPr>
          <w:rFonts w:ascii="ArialMT" w:eastAsia="Times New Roman" w:hAnsi="ArialMT" w:cs="Arial"/>
          <w:sz w:val="13"/>
          <w:szCs w:val="13"/>
        </w:rPr>
        <w:t xml:space="preserve">2 </w:t>
      </w:r>
      <w:r w:rsidRPr="008E68DA">
        <w:rPr>
          <w:rFonts w:ascii="ArialMT" w:eastAsia="Times New Roman" w:hAnsi="ArialMT" w:cs="Arial"/>
          <w:sz w:val="20"/>
          <w:szCs w:val="20"/>
        </w:rPr>
        <w:t>каждая.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Расчетная нагрузка от массы легкосбрасываемых конструкций покрытия должна составлять не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более 0,7 кПа (70 кгс/м</w:t>
      </w:r>
      <w:r w:rsidRPr="008E68DA">
        <w:rPr>
          <w:rFonts w:ascii="ArialMT" w:eastAsia="Times New Roman" w:hAnsi="ArialMT" w:cs="Arial"/>
          <w:sz w:val="13"/>
          <w:szCs w:val="13"/>
        </w:rPr>
        <w:t>2</w:t>
      </w:r>
      <w:r w:rsidRPr="008E68DA">
        <w:rPr>
          <w:rFonts w:ascii="ArialMT" w:eastAsia="Times New Roman" w:hAnsi="ArialMT" w:cs="Arial"/>
          <w:sz w:val="20"/>
          <w:szCs w:val="20"/>
        </w:rPr>
        <w:t>).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6.2.7 Фонари должны быть незадуваемыми. Длина фонарей должна составлять не более 120 м.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Расстояние между торцами фонарей и между торцом фонаря и наружной стеной должно быть не ме-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нее 6 м. Открывание створок фонарей должно быть механизированным (с включением механизмов</w:t>
      </w:r>
    </w:p>
    <w:p w:rsidR="008E68DA" w:rsidRPr="008E68DA" w:rsidRDefault="008E68DA" w:rsidP="008E6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8DA">
        <w:rPr>
          <w:rFonts w:ascii="ArialMT" w:eastAsia="Times New Roman" w:hAnsi="ArialMT" w:cs="Arial"/>
          <w:sz w:val="20"/>
          <w:szCs w:val="20"/>
        </w:rPr>
        <w:t>открывания у выходов из помещений), дублированным ручным управлением.</w:t>
      </w:r>
    </w:p>
    <w:p w:rsidR="008E68DA" w:rsidRPr="00C03D46" w:rsidRDefault="008E68DA">
      <w:pPr>
        <w:rPr>
          <w:rFonts w:ascii="Arial" w:hAnsi="Arial" w:cs="Arial"/>
          <w:b/>
          <w:bCs/>
          <w:sz w:val="18"/>
          <w:szCs w:val="18"/>
        </w:rPr>
      </w:pPr>
    </w:p>
    <w:p w:rsidR="008E68DA" w:rsidRPr="008E68DA" w:rsidRDefault="008E68D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СНиП 31-03-2001 ПРОИЗВОДСТВЕННЫЕ ЗДАНИЯ</w:t>
      </w:r>
    </w:p>
    <w:p w:rsidR="008E68DA" w:rsidRPr="008E68DA" w:rsidRDefault="008E68DA" w:rsidP="008E68D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E68DA">
        <w:rPr>
          <w:rFonts w:ascii="Verdana" w:eastAsia="Times New Roman" w:hAnsi="Verdana" w:cs="Times New Roman"/>
          <w:b/>
          <w:bCs/>
          <w:sz w:val="18"/>
          <w:szCs w:val="18"/>
        </w:rPr>
        <w:t>5 ОБЪЕМНО-ПЛАНИРОВОЧНЫЕ И КОНСТРУКТИВНЫЕ РЕШЕНИЯ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5.1 В помещениях высота от пола до низа выступающих конструкций перекрытия (покрытия) должна быть не менее 2,2 м, высота от пола до низа выступающих частей коммуникаций и оборудования в местах регулярного прохода людей и на путях эвакуации - не менее 2 м, а в местах нерегулярного прохода людей - не менее 1,8 м. При необходимости въезда в здание автомобилей высота проезда должна быть не менее 4,2 м до низа конструкций, выступающих частей коммуникаций и оборудования, для пожарных автомобилей - не менее 4,5 м.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5.2 В производственных зданиях и помещениях, требующих по условиям технологии поддержания в них стабильных параметров воздушной среды и размещения инженерного оборудования и коммуникаций, допускается предусматривать: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подвесные (подшивные) потолки и фальшполы - когда для доступа к коммуникациям не требуется предусматривать проход для обслуживающего персонала. Для обслуживания указанных коммуникаций допускается проектировать люки и вертикальные стальные лестницы;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технические этажи - когда по условиям технологии для обслуживания инженерного оборудования, коммуникаций и вспомогательных технологических устройств, размещаемых в этих этажах, требуется устройство проходов, высота которых принимается в соответствии с 5.1.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5.3 Ввод железнодорожных путей в здания допускается предусматривать в соответствии с технологической частью проекта с учетом требований 7.5.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5.4 Верх головок рельсов железнодорожных путей должен быть на отметке чистого пола.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5.5 Склады сырья, полуфабрикатов и готовой продукции, размещаемые в производственных зданиях, а также грузовые платформы (рампы) следует проектировать с учетом требований СНиП 31-04.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lastRenderedPageBreak/>
        <w:t xml:space="preserve">5.6 В многоэтажных зданиях высотой более 15 м от планировочной отметки земли до отметки чистого пола верхнего этажа (не считая технического) и наличии на отметке более 15 м постоянных рабочих мест или оборудования, которое необходимо обслуживать более трех раз в смену, следует предусматривать пассажирские лифты. Грузовые лифты должны предусматриваться в соответствии с технологической частью проекта.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Число и грузоподъемность лифтов следует принимать в зависимости от пассажиро- и грузопотоков. При численности работающих (в наиболее многочисленную смену) не более 30 на всех этажах, расположенных выше 15 м, в здании следует предусматривать один лифт.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При наличии на втором этаже и выше помещений, предназначенных для труда инвалидов, пользующихся креслами-колясками, в здании следует предусматривать пассажирский лифт, если невозможно организовать рабочие места инвалидов на первом этаже. Кабина лифта должна иметь размеры не менее: ширину - 1,1 м, глубину - 2,1 м, ширину дверного проема - 0,85 м.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5.7 Выходы из подвалов следует предусматривать вне зоны работы подъемно-транспортного оборудования.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8E68DA">
        <w:rPr>
          <w:rFonts w:ascii="Verdana" w:eastAsia="Times New Roman" w:hAnsi="Verdana" w:cs="Times New Roman"/>
          <w:sz w:val="18"/>
          <w:szCs w:val="18"/>
        </w:rPr>
        <w:t xml:space="preserve">5.8 Ширину тамбуров и тамбур-шлюзов следует принимать более ширины проемов не менее чем на 0,5 м (по 0,25 м с каждой стороны проема), а глубину - более ширины дверного или воротного полотна не менее чем на 0,2 м, но не менее 1,2 м. При наличии в числе работающих инвалидов, пользующихся креслами-колясками, глубину тамбуров и тамбур-шлюзов следует принимать не менее 1,8 м. </w:t>
      </w:r>
    </w:p>
    <w:p w:rsidR="008E68DA" w:rsidRPr="00C03D46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highlight w:val="yellow"/>
        </w:rPr>
      </w:pP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 xml:space="preserve">5.9 В помещениях категорий А и Б следует предусматривать наружные легкосбрасываемые ограждающие конструкции. </w:t>
      </w:r>
    </w:p>
    <w:p w:rsidR="008E68DA" w:rsidRPr="00C03D46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highlight w:val="yellow"/>
        </w:rPr>
      </w:pP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>В качестве легкосбрасываемых конструкций следует, как правило, использовать остекление окон и фонарей. При недостаточной площади остекления допускается в качестве легкосбрасываемых конструкций использовать конструкции покрытий из стальных, алюминиевых и асбесто-цементных листов и эффективного утеплителя. Площадь легкосбрасываемых конструкций следует определять расчетом. При отсутствии расчетных данных площадь легкосбрасываемых конструкций должна составлять не менее 0,05 м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  <w:vertAlign w:val="superscript"/>
        </w:rPr>
        <w:t>2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 xml:space="preserve"> на 1 м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  <w:vertAlign w:val="superscript"/>
        </w:rPr>
        <w:t>3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 xml:space="preserve"> объема помещения категории А и не менее 0,03 м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  <w:vertAlign w:val="superscript"/>
        </w:rPr>
        <w:t>2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 xml:space="preserve"> - помещения категории Б. </w:t>
      </w:r>
    </w:p>
    <w:p w:rsidR="008E68DA" w:rsidRPr="00C03D46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highlight w:val="yellow"/>
        </w:rPr>
      </w:pP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 xml:space="preserve">Примечания </w:t>
      </w:r>
    </w:p>
    <w:p w:rsidR="008E68DA" w:rsidRPr="00C03D46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highlight w:val="yellow"/>
        </w:rPr>
      </w:pP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>1 Оконное стекло относится к легкосбрасываемым конструкциям при толщине 3, 4 и 5 мм и площади не менее (соответственно) 0,8, 1 и 1,5 м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  <w:vertAlign w:val="superscript"/>
        </w:rPr>
        <w:t>2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 xml:space="preserve">. Армированное стекло к легкосбрасываемым конструкциям не относится. </w:t>
      </w:r>
    </w:p>
    <w:p w:rsidR="008E68DA" w:rsidRPr="00C03D46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highlight w:val="yellow"/>
        </w:rPr>
      </w:pP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>2 Рулонный ковер на участках легкосбрасываемых конструкций покрытия следует разрезать на карты площадью не более 180 м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  <w:vertAlign w:val="superscript"/>
        </w:rPr>
        <w:t>2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 xml:space="preserve"> каждая. </w:t>
      </w:r>
    </w:p>
    <w:p w:rsidR="008E68DA" w:rsidRPr="008E68DA" w:rsidRDefault="008E68DA" w:rsidP="008E6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>3 Расчетная нагрузка от массы легкосбрасываемых конструкций покрытия должна составлять не более 0,7 кПа (70 кгс/м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  <w:vertAlign w:val="superscript"/>
        </w:rPr>
        <w:t>2</w:t>
      </w:r>
      <w:r w:rsidRPr="00C03D46">
        <w:rPr>
          <w:rFonts w:ascii="Verdana" w:eastAsia="Times New Roman" w:hAnsi="Verdana" w:cs="Times New Roman"/>
          <w:sz w:val="18"/>
          <w:szCs w:val="18"/>
          <w:highlight w:val="yellow"/>
        </w:rPr>
        <w:t>).</w:t>
      </w:r>
      <w:r w:rsidRPr="008E68DA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8E68DA" w:rsidRPr="008E68DA" w:rsidRDefault="008E68DA"/>
    <w:sectPr w:rsidR="008E68DA" w:rsidRPr="008E68DA" w:rsidSect="0071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DA"/>
    <w:rsid w:val="007163AC"/>
    <w:rsid w:val="00844A57"/>
    <w:rsid w:val="008E68DA"/>
    <w:rsid w:val="00C03D46"/>
    <w:rsid w:val="00E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68DA"/>
    <w:pPr>
      <w:spacing w:before="30" w:after="45" w:line="240" w:lineRule="auto"/>
      <w:outlineLvl w:val="2"/>
    </w:pPr>
    <w:rPr>
      <w:rFonts w:ascii="Times New Roman" w:eastAsia="Times New Roman" w:hAnsi="Times New Roman" w:cs="Times New Roman"/>
      <w:b/>
      <w:bCs/>
      <w:color w:val="0000C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8DA"/>
    <w:rPr>
      <w:rFonts w:ascii="Times New Roman" w:eastAsia="Times New Roman" w:hAnsi="Times New Roman" w:cs="Times New Roman"/>
      <w:b/>
      <w:bCs/>
      <w:color w:val="0000CC"/>
      <w:sz w:val="21"/>
      <w:szCs w:val="21"/>
      <w:lang w:eastAsia="ru-RU"/>
    </w:rPr>
  </w:style>
  <w:style w:type="paragraph" w:styleId="a3">
    <w:name w:val="No Spacing"/>
    <w:uiPriority w:val="1"/>
    <w:qFormat/>
    <w:rsid w:val="008E68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68DA"/>
    <w:pPr>
      <w:spacing w:before="30" w:after="45" w:line="240" w:lineRule="auto"/>
      <w:outlineLvl w:val="2"/>
    </w:pPr>
    <w:rPr>
      <w:rFonts w:ascii="Times New Roman" w:eastAsia="Times New Roman" w:hAnsi="Times New Roman" w:cs="Times New Roman"/>
      <w:b/>
      <w:bCs/>
      <w:color w:val="0000C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8DA"/>
    <w:rPr>
      <w:rFonts w:ascii="Times New Roman" w:eastAsia="Times New Roman" w:hAnsi="Times New Roman" w:cs="Times New Roman"/>
      <w:b/>
      <w:bCs/>
      <w:color w:val="0000CC"/>
      <w:sz w:val="21"/>
      <w:szCs w:val="21"/>
      <w:lang w:eastAsia="ru-RU"/>
    </w:rPr>
  </w:style>
  <w:style w:type="paragraph" w:styleId="a3">
    <w:name w:val="No Spacing"/>
    <w:uiPriority w:val="1"/>
    <w:qFormat/>
    <w:rsid w:val="008E68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borozdin</dc:creator>
  <cp:lastModifiedBy>Alteza</cp:lastModifiedBy>
  <cp:revision>2</cp:revision>
  <dcterms:created xsi:type="dcterms:W3CDTF">2017-09-22T06:48:00Z</dcterms:created>
  <dcterms:modified xsi:type="dcterms:W3CDTF">2017-09-22T06:48:00Z</dcterms:modified>
</cp:coreProperties>
</file>